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F3" w:rsidRPr="007B30E8" w:rsidRDefault="00ED6FF3" w:rsidP="007B30E8">
      <w:pPr>
        <w:jc w:val="center"/>
        <w:rPr>
          <w:rFonts w:ascii="Palatino Linotype" w:hAnsi="Palatino Linotype" w:cs="Arial"/>
          <w:b/>
          <w:bCs/>
          <w:color w:val="auto"/>
          <w:spacing w:val="-10"/>
          <w:sz w:val="36"/>
          <w:szCs w:val="22"/>
        </w:rPr>
      </w:pPr>
      <w:r w:rsidRPr="007B30E8">
        <w:rPr>
          <w:rFonts w:ascii="Palatino Linotype" w:hAnsi="Palatino Linotype" w:cs="Arial"/>
          <w:b/>
          <w:bCs/>
          <w:color w:val="auto"/>
          <w:spacing w:val="-10"/>
          <w:sz w:val="36"/>
          <w:szCs w:val="22"/>
        </w:rPr>
        <w:t>Station Road Medical Practice</w:t>
      </w:r>
    </w:p>
    <w:p w:rsidR="00ED6FF3" w:rsidRPr="007B30E8" w:rsidRDefault="00ED6FF3" w:rsidP="007B30E8">
      <w:pPr>
        <w:jc w:val="center"/>
        <w:rPr>
          <w:rFonts w:ascii="Palatino Linotype" w:hAnsi="Palatino Linotype" w:cs="Arial"/>
          <w:b/>
          <w:bCs/>
          <w:color w:val="auto"/>
          <w:spacing w:val="-10"/>
          <w:sz w:val="28"/>
          <w:szCs w:val="22"/>
        </w:rPr>
      </w:pPr>
      <w:r w:rsidRPr="007B30E8">
        <w:rPr>
          <w:rFonts w:ascii="Palatino Linotype" w:hAnsi="Palatino Linotype" w:cs="Arial"/>
          <w:b/>
          <w:bCs/>
          <w:color w:val="auto"/>
          <w:spacing w:val="-10"/>
          <w:sz w:val="28"/>
          <w:szCs w:val="22"/>
        </w:rPr>
        <w:t>Duty of Candour Annual Report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7B30E8" w:rsidP="007B30E8">
      <w:pPr>
        <w:jc w:val="both"/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</w:pP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>Year E</w:t>
      </w:r>
      <w:r w:rsidR="00ED6FF3" w:rsidRPr="007B30E8"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>nding</w:t>
      </w: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>:</w:t>
      </w: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ab/>
      </w: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ab/>
      </w:r>
      <w:r w:rsidR="00ED6FF3" w:rsidRPr="007B30E8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>31</w:t>
      </w:r>
      <w:r w:rsidR="00ED6FF3" w:rsidRPr="007B30E8">
        <w:rPr>
          <w:rFonts w:ascii="Palatino Linotype" w:hAnsi="Palatino Linotype" w:cs="Arial"/>
          <w:iCs/>
          <w:color w:val="auto"/>
          <w:spacing w:val="-10"/>
          <w:sz w:val="22"/>
          <w:szCs w:val="22"/>
          <w:vertAlign w:val="superscript"/>
        </w:rPr>
        <w:t>st</w:t>
      </w:r>
      <w:r w:rsidR="00ED6FF3" w:rsidRPr="007B30E8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 xml:space="preserve"> March </w:t>
      </w:r>
      <w:r w:rsidR="00DE5C2D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>202</w:t>
      </w:r>
      <w:r w:rsidR="00B45575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>5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To fulfil 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D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uty of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C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andour responsibilities, this report describes the unintended or unexpected incidents that occurred at our practice during the last year. 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i/>
          <w:iCs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2"/>
          <w:szCs w:val="22"/>
        </w:rPr>
        <w:t>Practice:</w:t>
      </w:r>
      <w:r w:rsidRPr="007B30E8">
        <w:rPr>
          <w:rFonts w:ascii="Palatino Linotype" w:hAnsi="Palatino Linotype" w:cs="Arial"/>
          <w:i/>
          <w:iCs/>
          <w:color w:val="auto"/>
          <w:sz w:val="22"/>
          <w:szCs w:val="22"/>
        </w:rPr>
        <w:t xml:space="preserve">                       </w:t>
      </w:r>
      <w:r w:rsidRPr="007B30E8">
        <w:rPr>
          <w:rFonts w:ascii="Palatino Linotype" w:hAnsi="Palatino Linotype" w:cs="Arial"/>
          <w:iCs/>
          <w:color w:val="auto"/>
          <w:sz w:val="22"/>
          <w:szCs w:val="22"/>
        </w:rPr>
        <w:t>Station Road Medical Practice</w:t>
      </w:r>
    </w:p>
    <w:p w:rsidR="00ED6FF3" w:rsidRPr="007B30E8" w:rsidRDefault="007B30E8" w:rsidP="007B30E8">
      <w:pPr>
        <w:ind w:left="2160" w:hanging="2160"/>
        <w:jc w:val="both"/>
        <w:rPr>
          <w:rFonts w:ascii="Palatino Linotype" w:hAnsi="Palatino Linotype" w:cs="Arial"/>
          <w:i/>
          <w:iCs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Responsible P</w:t>
      </w:r>
      <w:r w:rsidR="00ED6FF3" w:rsidRPr="007B30E8">
        <w:rPr>
          <w:rFonts w:ascii="Palatino Linotype" w:hAnsi="Palatino Linotype" w:cs="Arial"/>
          <w:b/>
          <w:color w:val="auto"/>
          <w:sz w:val="22"/>
          <w:szCs w:val="22"/>
        </w:rPr>
        <w:t>erson: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 </w:t>
      </w:r>
      <w:r w:rsidR="00ED6FF3" w:rsidRPr="007B30E8">
        <w:rPr>
          <w:rFonts w:ascii="Palatino Linotype" w:hAnsi="Palatino Linotype" w:cs="Arial"/>
          <w:iCs/>
          <w:color w:val="auto"/>
          <w:sz w:val="22"/>
          <w:szCs w:val="22"/>
        </w:rPr>
        <w:t xml:space="preserve">Dr </w:t>
      </w:r>
      <w:r w:rsidR="00E009F3">
        <w:rPr>
          <w:rFonts w:ascii="Palatino Linotype" w:hAnsi="Palatino Linotype" w:cs="Arial"/>
          <w:iCs/>
          <w:color w:val="auto"/>
          <w:sz w:val="22"/>
          <w:szCs w:val="22"/>
        </w:rPr>
        <w:t>T McLaughlin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2"/>
          <w:szCs w:val="22"/>
        </w:rPr>
        <w:t>Date of report:</w:t>
      </w:r>
      <w:r w:rsidRPr="007B30E8">
        <w:rPr>
          <w:rFonts w:ascii="Palatino Linotype" w:hAnsi="Palatino Linotype" w:cs="Arial"/>
          <w:b/>
          <w:color w:val="auto"/>
          <w:sz w:val="22"/>
          <w:szCs w:val="22"/>
        </w:rPr>
        <w:tab/>
      </w:r>
      <w:r w:rsidR="00B45575">
        <w:rPr>
          <w:rFonts w:ascii="Palatino Linotype" w:hAnsi="Palatino Linotype" w:cs="Arial"/>
          <w:color w:val="auto"/>
          <w:sz w:val="22"/>
          <w:szCs w:val="22"/>
        </w:rPr>
        <w:t>19</w:t>
      </w:r>
      <w:r w:rsidR="00B45575" w:rsidRPr="00B45575">
        <w:rPr>
          <w:rFonts w:ascii="Palatino Linotype" w:hAnsi="Palatino Linotype" w:cs="Arial"/>
          <w:color w:val="auto"/>
          <w:sz w:val="22"/>
          <w:szCs w:val="22"/>
          <w:vertAlign w:val="superscript"/>
        </w:rPr>
        <w:t>th</w:t>
      </w:r>
      <w:r w:rsidR="00B45575">
        <w:rPr>
          <w:rFonts w:ascii="Palatino Linotype" w:hAnsi="Palatino Linotype" w:cs="Arial"/>
          <w:color w:val="auto"/>
          <w:sz w:val="22"/>
          <w:szCs w:val="22"/>
        </w:rPr>
        <w:t xml:space="preserve"> May 2025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Aims and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O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bjectives of the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P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ractice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iCs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iCs/>
          <w:color w:val="auto"/>
          <w:sz w:val="22"/>
          <w:szCs w:val="22"/>
        </w:rPr>
        <w:t xml:space="preserve">Station Road Medical Practice are proud to offer the highest standard of patient-centred healthcare to our patients and to improve the general health and wellbeing of our local population. 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i/>
          <w:iCs/>
          <w:color w:val="auto"/>
          <w:sz w:val="22"/>
          <w:szCs w:val="22"/>
        </w:rPr>
      </w:pPr>
    </w:p>
    <w:p w:rsidR="007B30E8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Duty of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C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andour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R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esponsibilities and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P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rocess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Station Road Medical Practice hold regular clinical and team meetings to discuss our duty of candour </w:t>
      </w:r>
      <w:r w:rsidR="007B30E8" w:rsidRPr="007B30E8">
        <w:rPr>
          <w:rFonts w:ascii="Palatino Linotype" w:hAnsi="Palatino Linotype" w:cs="Arial"/>
          <w:color w:val="auto"/>
          <w:sz w:val="22"/>
          <w:szCs w:val="22"/>
        </w:rPr>
        <w:t>responsibilities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should any unintended or unexpected incident occur.  The full team are aware of and understands the practice Duty of Candour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which describes the process to follow should something go wrong.  The practice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identifies the pra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 xml:space="preserve">ctice contact 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>who should be notified of all incidents and near misses and will conduct an investigation should this be necessary.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 xml:space="preserve">  The practice also submits quarterly complaints data to the NHS </w:t>
      </w:r>
      <w:r w:rsidR="007B30E8" w:rsidRPr="007B30E8">
        <w:rPr>
          <w:rFonts w:ascii="Palatino Linotype" w:hAnsi="Palatino Linotype" w:cs="Arial"/>
          <w:color w:val="auto"/>
          <w:sz w:val="22"/>
          <w:szCs w:val="22"/>
        </w:rPr>
        <w:t xml:space="preserve">Ayrshire &amp; Arran Primary Care Team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which would contain details of any Duty of Candour incidents.</w:t>
      </w: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Unexpect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ed or U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nintended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I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ncidents 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>In the financial year ending 31</w:t>
      </w:r>
      <w:r w:rsidRPr="007B30E8">
        <w:rPr>
          <w:rFonts w:ascii="Palatino Linotype" w:hAnsi="Palatino Linotype" w:cs="Arial"/>
          <w:color w:val="auto"/>
          <w:sz w:val="22"/>
          <w:szCs w:val="22"/>
          <w:vertAlign w:val="superscript"/>
        </w:rPr>
        <w:t>st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March </w:t>
      </w:r>
      <w:r w:rsidR="00903E5F">
        <w:rPr>
          <w:rFonts w:ascii="Palatino Linotype" w:hAnsi="Palatino Linotype" w:cs="Arial"/>
          <w:color w:val="auto"/>
          <w:sz w:val="22"/>
          <w:szCs w:val="22"/>
        </w:rPr>
        <w:t>202</w:t>
      </w:r>
      <w:r w:rsidR="00B45575">
        <w:rPr>
          <w:rFonts w:ascii="Palatino Linotype" w:hAnsi="Palatino Linotype" w:cs="Arial"/>
          <w:color w:val="auto"/>
          <w:sz w:val="22"/>
          <w:szCs w:val="22"/>
        </w:rPr>
        <w:t>5</w:t>
      </w:r>
      <w:bookmarkStart w:id="0" w:name="_GoBack"/>
      <w:bookmarkEnd w:id="0"/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, there were 0 incidents to report which </w:t>
      </w:r>
      <w:r w:rsidR="007B30E8" w:rsidRPr="007B30E8">
        <w:rPr>
          <w:rFonts w:ascii="Palatino Linotype" w:hAnsi="Palatino Linotype" w:cs="Arial"/>
          <w:color w:val="auto"/>
          <w:sz w:val="22"/>
          <w:szCs w:val="22"/>
        </w:rPr>
        <w:t>invoked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the Duty of Candour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>.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Action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T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aken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I confirm that for the following incidents the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D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uty of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C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andour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was followed: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iCs/>
          <w:color w:val="auto"/>
          <w:sz w:val="22"/>
          <w:szCs w:val="22"/>
        </w:rPr>
        <w:t>n/a</w:t>
      </w:r>
      <w:r w:rsidR="007B30E8">
        <w:rPr>
          <w:rFonts w:ascii="Palatino Linotype" w:hAnsi="Palatino Linotype" w:cs="Arial"/>
          <w:iCs/>
          <w:color w:val="auto"/>
          <w:sz w:val="22"/>
          <w:szCs w:val="22"/>
        </w:rPr>
        <w:t xml:space="preserve"> – 0 incidents</w:t>
      </w:r>
    </w:p>
    <w:p w:rsidR="00ED6FF3" w:rsidRPr="007B30E8" w:rsidRDefault="00ED6FF3" w:rsidP="007B30E8">
      <w:pPr>
        <w:ind w:left="360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3A2651" w:rsidRDefault="003A2651" w:rsidP="007B30E8">
      <w:pPr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836024" w:rsidRPr="007B30E8" w:rsidRDefault="00836024" w:rsidP="007B30E8">
      <w:pPr>
        <w:jc w:val="both"/>
        <w:rPr>
          <w:rFonts w:ascii="Palatino Linotype" w:hAnsi="Palatino Linotype"/>
          <w:color w:val="auto"/>
          <w:sz w:val="22"/>
          <w:szCs w:val="22"/>
        </w:rPr>
      </w:pPr>
    </w:p>
    <w:sectPr w:rsidR="00836024" w:rsidRPr="007B30E8" w:rsidSect="003A2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36FA7"/>
    <w:multiLevelType w:val="hybridMultilevel"/>
    <w:tmpl w:val="42CE4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B00B0"/>
    <w:multiLevelType w:val="hybridMultilevel"/>
    <w:tmpl w:val="F7041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6FF3"/>
    <w:rsid w:val="00087AE4"/>
    <w:rsid w:val="000A5D91"/>
    <w:rsid w:val="000B0E4B"/>
    <w:rsid w:val="001564F5"/>
    <w:rsid w:val="00183B2F"/>
    <w:rsid w:val="00246717"/>
    <w:rsid w:val="002755E1"/>
    <w:rsid w:val="003A2651"/>
    <w:rsid w:val="003C183B"/>
    <w:rsid w:val="003D6789"/>
    <w:rsid w:val="00403D2E"/>
    <w:rsid w:val="004550E2"/>
    <w:rsid w:val="00553C4E"/>
    <w:rsid w:val="00553D82"/>
    <w:rsid w:val="005A21C2"/>
    <w:rsid w:val="005A498F"/>
    <w:rsid w:val="005B6C0B"/>
    <w:rsid w:val="0070619B"/>
    <w:rsid w:val="00707ECA"/>
    <w:rsid w:val="007B30E8"/>
    <w:rsid w:val="00836024"/>
    <w:rsid w:val="00900612"/>
    <w:rsid w:val="00903E5F"/>
    <w:rsid w:val="00A65513"/>
    <w:rsid w:val="00A95E86"/>
    <w:rsid w:val="00B412AE"/>
    <w:rsid w:val="00B45575"/>
    <w:rsid w:val="00B61BD1"/>
    <w:rsid w:val="00BF489E"/>
    <w:rsid w:val="00C56D92"/>
    <w:rsid w:val="00D55717"/>
    <w:rsid w:val="00DE5C2D"/>
    <w:rsid w:val="00E009F3"/>
    <w:rsid w:val="00E2547E"/>
    <w:rsid w:val="00ED6FF3"/>
    <w:rsid w:val="00EE6463"/>
    <w:rsid w:val="00F04210"/>
    <w:rsid w:val="00F10ABE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EB324-04F7-4532-916C-F9846D8D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F3"/>
    <w:pPr>
      <w:spacing w:after="0" w:line="240" w:lineRule="auto"/>
    </w:pPr>
    <w:rPr>
      <w:rFonts w:ascii="Trebuchet MS" w:hAnsi="Trebuchet MS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9B"/>
    <w:rPr>
      <w:rFonts w:ascii="Segoe U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julie.grant</dc:creator>
  <cp:lastModifiedBy>Julie Grant (AA Station Road Medical Practice)</cp:lastModifiedBy>
  <cp:revision>7</cp:revision>
  <cp:lastPrinted>2025-05-19T14:56:00Z</cp:lastPrinted>
  <dcterms:created xsi:type="dcterms:W3CDTF">2019-10-03T15:23:00Z</dcterms:created>
  <dcterms:modified xsi:type="dcterms:W3CDTF">2025-05-19T14:57:00Z</dcterms:modified>
</cp:coreProperties>
</file>